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PIK3CA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PIK3CA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[56.0,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(37.8%)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(88.1%)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(63.5%)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(45.5%)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(84.8%)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(79.5%)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(42.9%)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(78.1%)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2026-09-28T00:48:09Z</dcterms:modified>
  <cp:category/>
</cp:coreProperties>
</file>