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(0.68–2.11)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(1.35–5.07)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(0.68–2.17)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3.85 (2.01–7.38)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(1.13–3.62)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2026-09-27T23:07:36Z</dcterms:modified>
  <cp:category/>
</cp:coreProperties>
</file>