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 (0.83–2.78)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2.53 (1.31–4.88)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(0.69–2.20)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3.68 (1.91–7.07)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(1.07–3.46)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2026-09-27T23:07:38Z</dcterms:modified>
  <cp:category/>
</cp:coreProperties>
</file>