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 (0.33–1.04)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2.53 (1.31–4.88)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(0.68–2.15)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3.77 (1.97–7.20)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1.98 (1.11–3.53)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2026-09-27T23:07:41Z</dcterms:modified>
  <cp:category/>
</cp:coreProperties>
</file>