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MS4A1 expression, TCGA-COAD (n = 273, events = 49, EPV = 9.8; exploratory)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60"/>
        <w:gridCol w:w="1489"/>
        <w:gridCol w:w="681"/>
        <w:gridCol w:w="931"/>
        <w:gridCol w:w="1611"/>
        <w:gridCol w:w="917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MS4A1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0.60 (0.34–1.09)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2.56 (1.33–4.93)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1.11 (0.62–2.00)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4.02 (2.09–7.74)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1.99 (1.11–3.55)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2026-09-27T23:08:11Z</dcterms:modified>
  <cp:category/>
</cp:coreProperties>
</file>