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(0.75–2.38)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2.57 (1.33–4.97)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(0.69–2.18)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3.75 (1.95–7.21)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2026-09-27T23:07:47Z</dcterms:modified>
  <cp:category/>
</cp:coreProperties>
</file>