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2.16 (1.19–3.92)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 (1.31–5.02)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(0.68–2.15)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3.95 (2.07–7.57)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2.16 (1.20–3.86)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2026-09-27T23:07:53Z</dcterms:modified>
  <cp:category/>
</cp:coreProperties>
</file>