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(0.35–1.16)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 (1.41–5.27)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1.40 (0.77–2.56)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3.78 (1.98–7.21)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(1.12–3.58)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2026-09-27T23:07:59Z</dcterms:modified>
  <cp:category/>
</cp:coreProperties>
</file>