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(0.39–0.90)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(1.00–2.36)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 (1.92–4.53)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2.80 (1.60–4.92)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2026-09-27T23:08:21Z</dcterms:modified>
  <cp:category/>
</cp:coreProperties>
</file>