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Kaplan–Meier estimates by gene expression, TCGA-COAD. NR = not reached.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41"/>
        <w:gridCol w:w="921"/>
        <w:gridCol w:w="681"/>
        <w:gridCol w:w="931"/>
        <w:gridCol w:w="2716"/>
        <w:gridCol w:w="1955"/>
        <w:gridCol w:w="1955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3-year OS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5-year OS (95% CI)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83.2 (62.7–NR)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77.4% (71.1–84.4)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67.4% (58.0–78.4)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78.4% (71.8–85.7)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62.5% (52.0–75.1)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80.1% (74.1–86.6)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68.7% (59.2–79.8)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65.8 (49.9–NR)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75.6% (68.6–83.3)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59.8% (48.9–73.2)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(60.7–NR)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73.4% (66.5–81.1)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61.4% (50.6–74.5)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82.6% (76.7–88.9)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67.8% (58.0–79.4)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70.1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76.8% (70.1–84.1)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64.2% (54.5–75.7)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(92.7–NR)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79.4% (73.3–86.0)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65.1% (54.5–77.8)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79.7% (73.4–86.5)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68.2% (58.7–79.3)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76.4% (69.7–83.6)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61.3% (50.6–74.2)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81.2% (74.6–88.3)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71.0% (61.3–82.2)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70.1 (54.6–NR)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74.7% (68.3–81.6)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57.6% (46.8–70.9)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77.7% (71.4–84.6)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63.7% (52.9–76.7)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78.3% (71.7–85.5)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65.4% (55.6–76.8)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83.2 (49.4–NR)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73.6% (66.9–80.9)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57.1% (46.9–69.4)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(65.8–NR)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82.2% (75.9–89.0)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72.5% (62.6–84.0)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(56.2–NR)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74.3% (67.8–81.4)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58.1% (48.5–69.5)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(99.9–NR)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81.0% (74.2–88.6)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73.4% (63.3–85.1)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2026-09-27T23:08:19Z</dcterms:modified>
  <cp:category/>
</cp:coreProperties>
</file>