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(0.17–1.67)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3.70 (1.00–13.69)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 (0.46–4.79)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 (0.54–5.88)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2026-09-27T23:08:33Z</dcterms:modified>
  <cp:category/>
</cp:coreProperties>
</file>