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 (0.15–1.52)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3.58 (0.97–13.29)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(0.26–2.82)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(0.54–5.41)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(0.52–5.58)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2026-09-27T23:08:38Z</dcterms:modified>
  <cp:category/>
</cp:coreProperties>
</file>