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FBXW7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 (0.09–1.29)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3.51 (0.94–13.16)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(0.24–2.77)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 (0.56–5.99)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1.19 (0.35–4.00)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2026-09-27T23:08:53Z</dcterms:modified>
  <cp:category/>
</cp:coreProperties>
</file>