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 (0.11–1.53)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2.97 (0.77–11.44)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(0.27–2.93)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1.71 (0.53–5.53)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 (0.40–4.43)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2026-09-27T23:09:13Z</dcterms:modified>
  <cp:category/>
</cp:coreProperties>
</file>