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Univariable Cox regression for overall survival, TCGA-READ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(0.34–1.64)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 (0.26–1.58)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 (0.16–0.87)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 (0.19–0.69)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2.58 (1.10–6.03)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1.81 (1.16–2.82)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 (0.29–1.43)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(0.53–1.30)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 (0.32–1.65)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1.06 (0.45–2.53)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 (0.25–1.23)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 (0.43–1.24)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 (0.24–1.23)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 (0.32–1.22)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(0.39–1.94)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 (0.87–1.72)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 (0.19–1.00)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 (0.45–1.14)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 (0.13–0.77)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(0.68–1.01)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4.50 (1.68–12.03)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1.18 (0.54–2.60)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2.93 (1.20–7.18)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1.53 (0.50–4.64)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2026-09-27T23:09:25Z</dcterms:modified>
  <cp:category/>
</cp:coreProperties>
</file>