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group, years, sex, pathologic stage group and pretreatment cea.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 (0.11–1.53)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(0.14–2.14)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(0.17–1.67)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 (0.15–1.55)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 (0.15–1.52)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(0.20–1.96)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3.56 (1.03–12.34)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2.87 (0.81–10.22)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2.96 (0.73–12.01)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5.79 (0.59–57.19)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(0.23–2.13)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(0.29–3.15)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1.15 (0.30–4.34)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(0.02–2.05)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 (0.09–1.29)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(0.06–0.79)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 (0.03–1.06)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(0.13–1.41)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 (0.13–1.77)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(0.26–2.90)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 (0.23–3.66)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 (0.03–0.48)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 (0.02–0.42)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2026-09-27T23:09:21Z</dcterms:modified>
  <cp:category/>
</cp:coreProperties>
</file>