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(0.37–0.87)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(0.74–6.05)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4.38 (1.54–12.47)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14.77 (5.14–42.42)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2026-09-27T17:30:04Z</dcterms:modified>
  <cp:category/>
</cp:coreProperties>
</file>