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2.18 (0.76–6.23)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4.40 (1.55–12.55)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13.68 (4.76–39.36)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2026-09-27T17:30:02Z</dcterms:modified>
  <cp:category/>
</cp:coreProperties>
</file>