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Kaplan–Meier estimates by gene expression, TCGA-COAD. NR = not reached.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1"/>
        <w:gridCol w:w="921"/>
        <w:gridCol w:w="681"/>
        <w:gridCol w:w="931"/>
        <w:gridCol w:w="2716"/>
        <w:gridCol w:w="1955"/>
        <w:gridCol w:w="1955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OS,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3-year OS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 OS (95% CI)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92.7 (62.7–NR)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77.9% (71.5–84.8)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67.8% (58.4–78.8)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78.4% (71.7–85.6)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62.5% (52.0–75.1)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80.1% (74.1–86.6)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68.6% (59.1–79.7)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65.8 (49.9–NR)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76.1% (69.1–83.7)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60.2% (49.2–73.6)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81.3 (60.7–NR)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73.7% (66.8–81.4)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61.6% (50.8–74.8)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82.6% (76.7–88.9)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67.8% (58.0–79.4)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70.1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76.8% (70.1–84.1)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64.2% (54.5–75.7)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(92.7–NR)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79.8% (73.7–86.3)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65.4% (54.7–78.2)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(81.3–NR)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79.7% (73.4–86.5)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68.2% (58.7–79.3)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76.7% (70.1–84.0)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61.6% (50.9–74.5)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(81.3–NR)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81.2% (74.6–88.3)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71.0% (61.3–82.2)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70.1 (54.6–NR)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75.0% (68.6–81.9)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57.9% (47.0–71.2)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77.7% (71.3–84.6)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63.6% (52.8–76.7)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78.7% (72.2–85.9)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65.7% (56.0–77.2)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83.2 (56.2–NR)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73.9% (67.2–81.2)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57.3% (47.1–69.7)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 (65.8–NR)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82.2% (75.9–89.0)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72.5% (62.6–84.0)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 (56.2–NR)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74.7% (68.2–81.8)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58.4% (48.8–69.9)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 (99.9–NR)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81.0% (74.1–88.5)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73.3% (63.2–85.1)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2026-09-27T17:30:09Z</dcterms:modified>
  <cp:category/>
</cp:coreProperties>
</file>