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(67.4%)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(85.8%)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(66.4%)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(33.6%)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2026-09-27T17:20:35Z</dcterms:modified>
  <cp:category/>
</cp:coreProperties>
</file>