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(79.7%)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(50.5%)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2026-09-27T17:20:58Z</dcterms:modified>
  <cp:category/>
</cp:coreProperties>
</file>