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TCGA-COAD cohort (N = 454)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454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(41.7%)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264 (58.3%)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(53.0%)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 (47.0%)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(16.7%)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176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(29.3%)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309 (68.2%)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(12.1%)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266 (58.7%)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(23.4%)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333 (83.9%)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(16.1%)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 (56.3%)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 (43.7%)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186 (65.5%)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(34.5%)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(60.1%)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(39.9%)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297 (75.8%)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(24.2%)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327 (85.8%)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(6.8%)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(6.3%)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388 (86.6%)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(19.5%)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(24.3%)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(34.6%)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(9.2%)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(48.5%)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210 (51.5%)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2026-09-27T17:20:08Z</dcterms:modified>
  <cp:category/>
</cp:coreProperties>
</file>