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relapse-free survival: ROCK2 expression, GSE39582 (CIT, colon)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080"/>
        <w:gridCol w:w="1305"/>
        <w:gridCol w:w="681"/>
        <w:gridCol w:w="931"/>
        <w:gridCol w:w="179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(0.53–1.03)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(0.68–1.07)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(0.53–1.03)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(0.96–1.25)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 (0.49–0.98)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6.82 (0.94–49.25)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13.58 (1.89–97.66)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(0.53–1.05)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(0.95–1.25)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(0.52–1.06)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7.45 (1.03–53.97)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(MMR status known)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13.72 (1.91–98.70)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 (0.46–0.93)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1.11 (0.97–1.28)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0.77 (0.54–1.10)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6.78 (0.94–49.12)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12.21 (1.69–87.91)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MMR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pMMR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 + MMR status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dMMR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(0.22–0.82)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2026-09-27T17:46:31Z</dcterms:modified>
  <cp:category/>
</cp:coreProperties>
</file>