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Kaplan–Meier estimates by ROCK2 expression, GSE39582 (CIT, colon). NR = not reached.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45"/>
        <w:gridCol w:w="1251"/>
        <w:gridCol w:w="921"/>
        <w:gridCol w:w="681"/>
        <w:gridCol w:w="931"/>
        <w:gridCol w:w="2431"/>
        <w:gridCol w:w="1760"/>
        <w:gridCol w:w="1760"/>
        <w:gridCol w:w="128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Endpoint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Population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Median,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3-year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5-year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Log-rank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132.0 (105.0–NR)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73.9% (68.7–79.4)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64.3% (58.5–70.8)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(97.0–NR)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81.9% (77.3–86.7)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70.7% (65.1–76.8)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105.0 (72.0–NR)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70.3% (63.8–77.5)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60.2% (53.0–68.4)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Overall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(91.0–NR)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81.1% (76.2–86.3)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68.9% (62.9–75.4)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69.9% (64.2–76.0)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66.4% (60.4–72.9)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78.8% (73.6–84.3)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73.9% (68.3–80.1)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(93.0–NR)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61.9% (54.6–70.2)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59.4% (52.0–67.9)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Relapse-free survival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pMMR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NR (NR–NR)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76.8% (71.2–82.9)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71.5% (65.4–78.2)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2026-09-27T17:46:28Z</dcterms:modified>
  <cp:category/>
</cp:coreProperties>
</file>