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BRAF expression, TCGA-READ (n = 150, events = 23, EPV = 5.8; exploratory)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6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BRAF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 (0.33–1.84)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10 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2.40 (1.41–4.09)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 (0.45–2.43)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2.85 (1.15–7.06)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2026-09-27T17:30:12Z</dcterms:modified>
  <cp:category/>
</cp:coreProperties>
</file>