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(1.47–4.21)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(0.43–2.28)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3.16 (1.25–7.99)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2026-09-27T17:30:20Z</dcterms:modified>
  <cp:category/>
</cp:coreProperties>
</file>