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Kaplan–Meier estimates by gene expression, TCGA-READ. NR = not reached.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41"/>
        <w:gridCol w:w="921"/>
        <w:gridCol w:w="591"/>
        <w:gridCol w:w="931"/>
        <w:gridCol w:w="2716"/>
        <w:gridCol w:w="1955"/>
        <w:gridCol w:w="1955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OS,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3-year OS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5-year OS (95% CI)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78.9% (66.8–93.1)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44.7% (21.3–94.0)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(57.2–NR)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89.5% (82.3–97.4)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56.7% (36.4–88.3)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57.2 (41.3–NR)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78.0% (66.4–91.6)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25.9% (6.0–100.0)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(51.9–NR)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91.1% (83.8–99.1)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65.8% (46.2–93.6)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90.1% (82.7–98.1)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81.1% (68.4–96.1)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51.4 (43.2–NR)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80.0% (69.0–92.7)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13.7% (2.4–78.8)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51.4 (47.0–NR)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84.5% (74.1–96.4)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15.1% (2.7–86.0)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85.3% (76.7–95.0)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75.9% (62.2–92.6)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FBXW7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 (43.2–NR)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85.6% (75.9–96.6)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31.2% (7.3–100.0)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FBXW7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84.6% (75.4–94.8)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55.4% (36.1–84.9)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79.8% (68.2–93.4)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33.2% (14.3–77.1)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89.0% (81.6–97.2)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71.4% (54.5–93.5)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81.0% (69.4–94.4)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20.3% (4.2–98.6)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90.1% (83.4–97.4)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72.0% (54.9–94.3)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(51.9–NR)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83.2% (73.8–93.7)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52.9% (30.1–93.1)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(47.0–NR)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88.8% (79.5–99.2)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50.8% (29.4–87.9)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51.4 (41.3–NR)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81.1% (70.0–94.0)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17.4% (3.3–93.0)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88.3% (80.4–97.1)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69.8% (51.7–94.2)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51.4 (43.2–NR)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75.2% (63.1–89.7)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33.3% (15.0–74.1)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(51.9–NR)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93.4% (87.2–100.0)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70.3% (49.1–100.0)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2026-09-27T17:30:32Z</dcterms:modified>
  <cp:category/>
</cp:coreProperties>
</file>