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TCGA-READ cohort (N = 169)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169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72.5]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(48.8%)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(51.2%)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(54.8%)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(45.2%)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(20.4%)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(68.3%)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(26.7%)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(21.2%)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(85.5%)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(52.5%)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(47.5%)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(57.9%)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(42.1%)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(55.6%)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(44.4%)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(74.0%)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(87.6%)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(92.0%)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(30.1%)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(66.9%)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(40.7%)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(59.3%)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2026-09-27T17:21:17Z</dcterms:modified>
  <cp:category/>
</cp:coreProperties>
</file>