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(0.56–1.27)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(0.69–1.57)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(0.78–6.38)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4.70 (1.65–13.38)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14.46 (5.03–41.57)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2026-09-27T20:50:32Z</dcterms:modified>
  <cp:category/>
</cp:coreProperties>
</file>