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BRAF expression, TCGA-COAD (n = 430, events = 93, EPV = 15.5)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BRAF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1.09 (0.72–1.65)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1.03 (0.68–1.55)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2.22 (0.78–6.35)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4.61 (1.62–13.10)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14.16 (4.93–40.69)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2026-09-27T20:50:35Z</dcterms:modified>
  <cp:category/>
</cp:coreProperties>
</file>