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KRAS expression, TCGA-COAD (n = 430, events = 93, EPV = 15.5)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755"/>
        <w:gridCol w:w="1145"/>
        <w:gridCol w:w="681"/>
        <w:gridCol w:w="931"/>
        <w:gridCol w:w="1791"/>
        <w:gridCol w:w="917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KRAS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0.83 (0.55–1.26)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(per 10 years)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1.40 (1.16–1.67)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1.03 (0.68–1.55)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2.21 (0.77–6.33)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4.46 (1.57–12.70)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14.33 (4.99–41.14)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2026-09-27T20:50:39Z</dcterms:modified>
  <cp:category/>
</cp:coreProperties>
</file>