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MS4A1 expression, TCGA-COAD (n = 430, events = 93, EPV = 15.5)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96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 (0.35–0.84)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1.37 (1.15–1.64)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1.03 (0.68–1.55)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1.88 (0.66–5.42)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4.20 (1.47–11.97)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13.46 (4.68–38.75)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2026-09-27T20:50:50Z</dcterms:modified>
  <cp:category/>
</cp:coreProperties>
</file>