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(0.37–0.86)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(0.69–1.57)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 (0.74–6.04)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4.51 (1.59–12.83)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14.89 (5.18–42.74)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2026-09-27T20:50:48Z</dcterms:modified>
  <cp:category/>
</cp:coreProperties>
</file>