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TCGA-COAD (n = 430, events = 93, EPV = 15.5)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1.72 (1.12–2.62)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(1.15–1.65)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 (0.61–1.41)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2.14 (0.75–6.13)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4.31 (1.52–12.28)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13.43 (4.69–38.50)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2026-09-27T20:50:43Z</dcterms:modified>
  <cp:category/>
</cp:coreProperties>
</file>