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TCGA-COAD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(0.58–1.29)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(0.84–1.23)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1.34 (0.93–1.94)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(0.44–0.99)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(0.66–1.13)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(0.69–1.32)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(0.82–1.83)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1.32 (0.93–1.88)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1.75 (1.17–2.63)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(1.10–1.74)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(0.41–0.93)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(0.71–1.10)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(0.39–0.90)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(0.87–1.04)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1.19 (1.01–1.40)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(0.59–1.32)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2.26 (0.79–6.46)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3.92 (1.38–11.11)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11.22 (3.95–31.89)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2.95 (1.92–4.53)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2026-09-27T20:50:54Z</dcterms:modified>
  <cp:category/>
</cp:coreProperties>
</file>