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Kaplan–Meier estimates by gene expression, TCGA-COAD. NR = not reached.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41"/>
        <w:gridCol w:w="921"/>
        <w:gridCol w:w="681"/>
        <w:gridCol w:w="931"/>
        <w:gridCol w:w="2716"/>
        <w:gridCol w:w="1955"/>
        <w:gridCol w:w="1955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3-year OS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5-year OS (95% CI)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(62.7–NR)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77.4% (71.1–84.4)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67.4% (58.0–78.4)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78.4% (71.8–85.7)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62.5% (52.0–75.1)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80.1% (74.1–86.6)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68.7% (59.2–79.8)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65.8 (49.9–NR)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75.6% (68.6–83.3)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59.8% (48.9–73.2)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(60.7–NR)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(66.5–81.1)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61.4% (50.6–74.5)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82.6% (76.7–88.9)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67.8% (58.0–79.4)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76.8% (70.1–84.1)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64.2% (54.5–75.7)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(92.7–NR)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79.4% (73.3–86.0)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65.1% (54.5–77.8)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79.7% (73.4–86.5)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68.2% (58.7–79.3)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76.4% (69.7–83.6)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61.3% (50.6–74.2)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(81.3–NR)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81.2% (74.6–88.3)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71.0% (61.3–82.2)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70.1 (54.6–NR)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74.7% (68.3–81.6)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57.6% (46.8–70.9)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(61.8–NR)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77.7% (71.4–84.6)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63.7% (52.9–76.7)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NR (70.1–NR)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78.3% (71.7–85.5)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65.4% (55.6–76.8)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83.2 (49.4–NR)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73.6% (66.9–80.9)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57.1% (46.9–69.4)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(65.8–NR)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82.2% (75.9–89.0)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72.5% (62.6–84.0)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 (56.2–NR)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74.3% (67.8–81.4)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58.1% (48.5–69.5)</w:t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99.9 (99.9–NR)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81.0% (74.2–88.6)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73.4% (63.3–85.1)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2026-09-27T20:50:53Z</dcterms:modified>
  <cp:category/>
</cp:coreProperties>
</file>