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(per 10 years), sex and pathologic stage.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(0.37–0.86)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 (0.39–0.98)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(0.56–1.27)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(0.54–1.37)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1.09 (0.72–1.65)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1.14 (0.74–1.75)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 (0.51–1.17)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0.89 (0.56–1.40)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(0.55–1.26)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(0.52–1.28)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(0.63–1.45)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(0.60–1.46)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1.72 (1.12–2.62)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1.70 (1.08–2.69)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(0.53–1.29)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(0.35–0.84)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 (0.30–0.79)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2026-09-27T20:50:52Z</dcterms:modified>
  <cp:category/>
</cp:coreProperties>
</file>