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BRCA1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[56.5,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(81.6%)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(62.0%)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(68.1%)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(77.1%)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(86.9%)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(86.4%)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186 (85.3%)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2026-09-27T20:48:59Z</dcterms:modified>
  <cp:category/>
</cp:coreProperties>
</file>