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(64.4%)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(84.6%)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(89.0%)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2026-09-27T20:49:43Z</dcterms:modified>
  <cp:category/>
</cp:coreProperties>
</file>