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TCGA-COAD cohort (N = 457)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457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(41.7%)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(58.3%)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(52.9%)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(47.1%)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(29.3%)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(17.1%)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(12.1%)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268 (58.8%)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(23.2%)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336 (84.0%)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 (56.4%)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(43.6%)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(65.7%)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(60.4%)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 (75.9%)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(24.1%)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329 (85.9%)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(6.8%)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389 (86.3%)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(13.7%)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(19.8%)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(24.3%)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(48.2%)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 (51.8%)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2026-09-27T20:48:35Z</dcterms:modified>
  <cp:category/>
</cp:coreProperties>
</file>