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BRAF expression, TCGA-COAD (n = 427, events = 92, EPV = 15.3)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5"/>
        <w:gridCol w:w="1145"/>
        <w:gridCol w:w="681"/>
        <w:gridCol w:w="931"/>
        <w:gridCol w:w="179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 (0.70–1.61)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1.38 (1.15–1.66)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 (0.66–1.52)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2.22 (0.77–6.34)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4.45 (1.56–12.69)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14.09 (4.90–40.49)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2026-09-27T17:29:51Z</dcterms:modified>
  <cp:category/>
</cp:coreProperties>
</file>