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TCGA-COAD. HR from Cox regression; multivariable model adjusted for age (per 10 years), sex and pathologic stage. Sensitivity: stratified by tss. q = Benjamini–Hochberg across exploratory genes only; the primary gene (ROCK2)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(56.2–NR)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(0.42–0.94)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 (0.37–0.87)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(0.39–0.99)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5.89 (1.63, 10.15)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92.7 (62.7–NR)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(0.59–1.32)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(0.57–1.30)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(0.55–1.40)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(-3.39, 5.26)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(0.79–1.77)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(0.70–1.61)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(0.73–1.71)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-1.92 (-6.23,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81.3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 (0.45–1.00)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(0.51–1.18)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(0.57–1.42)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3.70 (-0.59,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(0.54–1.20)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 (0.54–1.24)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 (0.51–1.25)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1.45 (-2.83, 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(0.62–1.43)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(0.59–1.44)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-1.02 (-5.32, 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1.73 (1.15–2.61)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1.70 (1.11–2.60)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1.69 (1.07–2.67)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-5.67 (-9.97, -1.38)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(0.53–1.19)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(0.53–1.22)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(0.51–1.27)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 (-3.87, 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(56.2–NR)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(99.9–NR)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 (0.40–0.92)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 (0.35–0.85)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 (0.31–0.81)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4.88 (0.60, 9.17)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2026-09-27T17:30:09Z</dcterms:modified>
  <cp:category/>
</cp:coreProperties>
</file>