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ROCK2 expression, GSE39582 (CIT, colon).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5"/>
        <w:gridCol w:w="1251"/>
        <w:gridCol w:w="921"/>
        <w:gridCol w:w="681"/>
        <w:gridCol w:w="931"/>
        <w:gridCol w:w="2431"/>
        <w:gridCol w:w="1760"/>
        <w:gridCol w:w="1760"/>
        <w:gridCol w:w="128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Log-rank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132.0 (105.0–NR)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73.9% (68.7–79.4)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64.3% (58.5–70.8)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81.9% (77.3–86.7)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70.7% (65.1–76.8)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105.0 (72.0–NR)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(63.8–77.5)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60.2% (53.0–68.4)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(91.0–NR)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(76.2–86.3)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68.9% (62.9–75.4)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69.9% (64.2–76.0)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66.4% (60.4–72.9)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78.8% (73.6–84.3)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73.9% (68.3–80.1)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(93.0–NR)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61.9% (54.6–70.2)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59.4% (52.0–67.9)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(71.2–82.9)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71.5% (65.4–78.2)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2026-09-27T20:51:47Z</dcterms:modified>
  <cp:category/>
</cp:coreProperties>
</file>