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External validation of ROCK2 expression (High vs Low, median split of probe 202762_at within tumors) in GSE39582 (CIT, colon). HR from Cox regression; multivariable models adjusted for age (per 10 years), sex and pathologic stage; '+ MMR status' additionally adjusts for mmr status and '(MMR status known)' is the model without it on the same patients. Interaction p = likelihood-ratio test for ROCK2 group × mmr status. Time-split HRs (0–24 / &gt;24 months, adjusted) are shown only when the gene term violated proportional hazards. RMST difference = High − Low restricted mean survival time up to 60 months. Relapse-free survival excludes stage 4. Direction compared with the TCGA-COAD multivariable HR 0.56.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04"/>
        <w:gridCol w:w="1064"/>
        <w:gridCol w:w="2705"/>
        <w:gridCol w:w="621"/>
        <w:gridCol w:w="815"/>
        <w:gridCol w:w="1344"/>
        <w:gridCol w:w="726"/>
        <w:gridCol w:w="726"/>
        <w:gridCol w:w="1262"/>
        <w:gridCol w:w="1441"/>
        <w:gridCol w:w="1192"/>
        <w:gridCol w:w="1091"/>
        <w:gridCol w:w="3109"/>
        <w:gridCol w:w="928"/>
        <w:gridCol w:w="2028"/>
        <w:gridCol w:w="1840"/>
      </w:tblGrid>
      <w:tr>
        <w:trPr>
          <w:trHeight w:val="54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PH p (gene term)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Interaction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Direction as TCGA-COAD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Exploratory (EPV &lt; 10)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0.84 (0.63–1.12)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3.08 (0.09, 6.07)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 (0.72–1.06)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(0.56–1.00)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(0.56–1.01)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 (0.54–0.99)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0.77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4.16 (0.61, 7.70)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 (0.60–0.97)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0.73 (0.53–1.01)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3.54 (-0.14, 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0.86 (0.68–1.07)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0.74 (0.53–1.05)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0.65 (0.45–0.92)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5.75 (1.33, 10.16)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0.75 (0.57–0.98)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  <w:tr>
        <w:trPr>
          <w:trHeight w:val="52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0.69 (0.48–0.98)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24.4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I–III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0.711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4"/>
                <w:szCs w:val="14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2026-09-27T20:51:47Z</dcterms:modified>
  <cp:category/>
</cp:coreProperties>
</file>