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External validation of ROCK2 expression (High vs Low, median split of probe 202762_at within tumors) in GSE39582 (CIT, colon). HR from Cox regression; multivariable models adjusted for age (per 10 years), sex and pathologic stage; '+ MMR status' additionally adjusts for mmr status and '(MMR status known)' is the model without it on the same patients. Interaction p = likelihood-ratio test for ROCK2 group × mmr status. Time-split HRs (0–24 / &gt;24 months, adjusted) are shown only when the gene term violated proportional hazards. RMST difference = High − Low restricted mean survival time up to 60 months. Relapse-free survival excludes stage 4. Direction compared with the TCGA-COAD multivariable HR 0.57.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04"/>
        <w:gridCol w:w="1064"/>
        <w:gridCol w:w="2705"/>
        <w:gridCol w:w="621"/>
        <w:gridCol w:w="815"/>
        <w:gridCol w:w="1344"/>
        <w:gridCol w:w="726"/>
        <w:gridCol w:w="726"/>
        <w:gridCol w:w="1262"/>
        <w:gridCol w:w="1441"/>
        <w:gridCol w:w="1192"/>
        <w:gridCol w:w="1091"/>
        <w:gridCol w:w="3109"/>
        <w:gridCol w:w="928"/>
        <w:gridCol w:w="2028"/>
        <w:gridCol w:w="1840"/>
      </w:tblGrid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Endpoint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Population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EPV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Stage 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PH p (gene term)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Interaction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Log-rank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RMST difference at 60 mo,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RMST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Direction as TCGA-COAD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Exploratory (EPV &lt; 10)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0.84 (0.63–1.12)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3.08 (0.09, 6.07)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 (0.72–1.06)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 (0.56–1.00)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 (0.56–1.01)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0.73 (0.54–0.99)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0.77 (0.57–1.06)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4.16 (0.61, 7.70)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 (0.60–0.97)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0.73 (0.53–1.01)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 (0.53–1.03)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3.54 (-0.14, 7.22)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 (0.68–1.07)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 (0.53–1.03)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 (0.53–1.05)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0.66 (0.46–0.93)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0.65 (0.45–0.92)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5.75 (1.33, 10.16)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 (0.57–0.98)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pMMR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0.69 (0.48–0.98)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I–III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2026-09-27T17:46:28Z</dcterms:modified>
  <cp:category/>
</cp:coreProperties>
</file>