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BRAF expression, TCGA-READ (n = 151, events = 23, EPV = 5.8;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145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 (0.33–1.84)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2.42 (1.42–4.10)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1.04 (0.45–2.42)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2.84 (1.15–7.06)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2026-09-27T20:51:01Z</dcterms:modified>
  <cp:category/>
</cp:coreProperties>
</file>