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 (0.28–1.65)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2.33 (1.36–3.98)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 (0.43–2.29)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2.75 (1.11–6.85)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2026-09-27T20:51:11Z</dcterms:modified>
  <cp:category/>
</cp:coreProperties>
</file>