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150,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(0.37–2.08)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2.63 (1.51–4.61)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(0.45–2.49)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 (1.07–6.88)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2026-09-27T20:51:16Z</dcterms:modified>
  <cp:category/>
</cp:coreProperties>
</file>