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 (per 10 years), sex and pathologic stage. Sensitivity: stratified by tss. q = Benjamini–Hochberg across exploratory genes only; the primary gene (ROCK2)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0.62 (0.24–1.62)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 (0.16–1.34)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0.78 (0.33–1.84)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(0.29–1.69)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 (0.22–1.30)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0.57 (0.23–1.41)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1.92 (0.76–4.85)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1.75 (0.68–4.53)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(0.35–3.35)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4.50 (0.92–21.99)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 (0.34–2.38)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2.04 (0.65–6.41)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 (0.07–1.77)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(0.22–1.34)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(0.15–1.29)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0.61 (0.24–1.58)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 (0.24–1.80)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(0.37–2.08)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(0.40–2.59)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 (0.13–0.89)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I–II vs 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(0.07–0.64)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2026-09-27T20:51:22Z</dcterms:modified>
  <cp:category/>
</cp:coreProperties>
</file>