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FBXW7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FBXW7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65.5 [58.0,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(59.5%)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(60.7%)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(56.9%)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(43.1%)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(70.6%)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(87.3%)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(90.3%)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(83.9%)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(87.8%)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(94.8%)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(74.4%)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(72.0%)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2026-09-27T20:50:11Z</dcterms:modified>
  <cp:category/>
</cp:coreProperties>
</file>